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59CD1" w14:textId="77777777" w:rsidR="001D40EA" w:rsidRPr="00A67DA5" w:rsidRDefault="001D40EA">
      <w:pPr>
        <w:suppressAutoHyphens/>
        <w:jc w:val="center"/>
        <w:rPr>
          <w:rFonts w:ascii="Segoe UI" w:hAnsi="Segoe U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67DA5" w:rsidRPr="00A67DA5" w14:paraId="48B45936" w14:textId="77777777" w:rsidTr="007B4F02">
        <w:tc>
          <w:tcPr>
            <w:tcW w:w="9778" w:type="dxa"/>
            <w:vAlign w:val="center"/>
          </w:tcPr>
          <w:p w14:paraId="719DAAF4" w14:textId="77777777" w:rsidR="00A67DA5" w:rsidRPr="00A67DA5" w:rsidRDefault="00A67DA5" w:rsidP="00990804">
            <w:pPr>
              <w:suppressAutoHyphens/>
              <w:jc w:val="center"/>
              <w:rPr>
                <w:rFonts w:ascii="Segoe UI" w:hAnsi="Segoe UI"/>
                <w:b/>
              </w:rPr>
            </w:pPr>
            <w:r w:rsidRPr="00A67DA5">
              <w:rPr>
                <w:rFonts w:ascii="Segoe UI" w:hAnsi="Segoe UI"/>
                <w:b/>
              </w:rPr>
              <w:t>ANEXO I – ESPECIFICAÇÃO TÉCNICA</w:t>
            </w:r>
          </w:p>
        </w:tc>
      </w:tr>
    </w:tbl>
    <w:p w14:paraId="49CF4F26" w14:textId="77777777" w:rsidR="005E06E0" w:rsidRDefault="005E06E0">
      <w:pPr>
        <w:suppressAutoHyphens/>
        <w:jc w:val="center"/>
        <w:rPr>
          <w:rFonts w:ascii="Segoe UI" w:hAnsi="Segoe UI"/>
          <w:sz w:val="22"/>
          <w:szCs w:val="22"/>
        </w:rPr>
      </w:pPr>
    </w:p>
    <w:p w14:paraId="46CD1ED9" w14:textId="49CBB66F" w:rsidR="008A47DC" w:rsidRPr="008A47DC" w:rsidRDefault="008A47DC" w:rsidP="008A47DC">
      <w:pPr>
        <w:pStyle w:val="PargrafodaLista"/>
        <w:numPr>
          <w:ilvl w:val="0"/>
          <w:numId w:val="4"/>
        </w:numPr>
        <w:ind w:left="426" w:hanging="349"/>
        <w:rPr>
          <w:rFonts w:ascii="Segoe UI" w:eastAsia="Times New Roman" w:hAnsi="Segoe UI" w:cs="Segoe UI"/>
          <w:bCs/>
          <w:sz w:val="22"/>
          <w:szCs w:val="22"/>
          <w:lang w:eastAsia="pt-BR"/>
        </w:rPr>
      </w:pPr>
      <w:bookmarkStart w:id="0" w:name="_Hlk103854345"/>
      <w:r w:rsidRPr="008A47DC">
        <w:rPr>
          <w:rFonts w:ascii="Segoe UI" w:eastAsia="Times New Roman" w:hAnsi="Segoe UI" w:cs="Segoe UI"/>
          <w:bCs/>
          <w:sz w:val="22"/>
          <w:szCs w:val="22"/>
          <w:lang w:eastAsia="pt-BR"/>
        </w:rPr>
        <w:t xml:space="preserve">Características dos ambientes da Dataprev com </w:t>
      </w:r>
      <w:r w:rsidRPr="008A47DC">
        <w:rPr>
          <w:rFonts w:ascii="Segoe UI" w:eastAsia="Times New Roman" w:hAnsi="Segoe UI" w:cs="Segoe UI"/>
          <w:bCs/>
          <w:i/>
          <w:iCs/>
          <w:sz w:val="22"/>
          <w:szCs w:val="22"/>
          <w:lang w:eastAsia="pt-BR"/>
        </w:rPr>
        <w:t>software</w:t>
      </w:r>
      <w:r w:rsidRPr="008A47DC">
        <w:rPr>
          <w:rFonts w:ascii="Segoe UI" w:eastAsia="Times New Roman" w:hAnsi="Segoe UI" w:cs="Segoe UI"/>
          <w:bCs/>
          <w:sz w:val="22"/>
          <w:szCs w:val="22"/>
          <w:lang w:eastAsia="pt-BR"/>
        </w:rPr>
        <w:t xml:space="preserve"> Zabbix a</w:t>
      </w:r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 xml:space="preserve"> ser suportado:</w:t>
      </w:r>
    </w:p>
    <w:p w14:paraId="462550CF" w14:textId="77777777" w:rsidR="008A47DC" w:rsidRPr="008A47DC" w:rsidRDefault="008A47DC" w:rsidP="008A47DC">
      <w:pPr>
        <w:pStyle w:val="PargrafodaLista"/>
        <w:ind w:left="426" w:hanging="349"/>
        <w:rPr>
          <w:rFonts w:ascii="Segoe UI" w:eastAsia="Times New Roman" w:hAnsi="Segoe UI" w:cs="Segoe UI"/>
          <w:bCs/>
          <w:sz w:val="22"/>
          <w:szCs w:val="22"/>
          <w:lang w:eastAsia="pt-BR"/>
        </w:rPr>
      </w:pPr>
    </w:p>
    <w:p w14:paraId="2099F735" w14:textId="77777777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 xml:space="preserve"> Distribuído em 3 </w:t>
      </w:r>
      <w:r w:rsidRPr="008A47DC">
        <w:rPr>
          <w:rFonts w:ascii="Segoe UI" w:eastAsia="Times New Roman" w:hAnsi="Segoe UI" w:cs="Segoe UI"/>
          <w:bCs/>
          <w:i/>
          <w:sz w:val="22"/>
          <w:szCs w:val="22"/>
          <w:lang w:eastAsia="pt-BR"/>
        </w:rPr>
        <w:t>Data Centers</w:t>
      </w:r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>, com independência de versões em utilização em cada local</w:t>
      </w:r>
      <w:bookmarkEnd w:id="0"/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>;</w:t>
      </w:r>
    </w:p>
    <w:p w14:paraId="4DAD7635" w14:textId="77777777" w:rsidR="008A47DC" w:rsidRPr="008A47DC" w:rsidRDefault="008A47DC" w:rsidP="008A47DC">
      <w:pPr>
        <w:pStyle w:val="PargrafodaLista"/>
        <w:ind w:left="709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129CB3D0" w14:textId="77777777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 xml:space="preserve"> Possui implementações em ambientes físicos e virtuais, seja na monitoração ou no estabelecimento da arquitetura Zabbix;</w:t>
      </w:r>
    </w:p>
    <w:p w14:paraId="20AADCE6" w14:textId="77777777" w:rsidR="008A47DC" w:rsidRPr="008A47DC" w:rsidRDefault="008A47DC" w:rsidP="008A47DC">
      <w:pPr>
        <w:pStyle w:val="PargrafodaLista"/>
        <w:ind w:left="709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55E92F15" w14:textId="77777777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sz w:val="22"/>
          <w:szCs w:val="22"/>
          <w:lang w:eastAsia="pt-BR"/>
        </w:rPr>
        <w:t xml:space="preserve"> Quantidade de dispositivos monitorados será indefinida, limitada somente pela capacidade e recursos dos servidores Zabbix existentes e licenciados;</w:t>
      </w:r>
    </w:p>
    <w:p w14:paraId="6DC01610" w14:textId="77777777" w:rsidR="008A47DC" w:rsidRPr="008A47DC" w:rsidRDefault="008A47DC" w:rsidP="008A47DC">
      <w:pPr>
        <w:pStyle w:val="PargrafodaLista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7D1B510E" w14:textId="77777777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sz w:val="22"/>
          <w:szCs w:val="22"/>
          <w:lang w:eastAsia="pt-BR"/>
        </w:rPr>
        <w:t xml:space="preserve"> O ambiente inicial, alvo dos serviços e suporte técnico que serão tratados neste contrato possui 10.700 servidores monitorados e 678 mil itens de monitoração.</w:t>
      </w:r>
    </w:p>
    <w:p w14:paraId="1C017FFF" w14:textId="77777777" w:rsidR="008A47DC" w:rsidRPr="008A47DC" w:rsidRDefault="008A47DC" w:rsidP="008A47DC">
      <w:pPr>
        <w:pStyle w:val="PargrafodaLista"/>
        <w:rPr>
          <w:rFonts w:ascii="Segoe UI" w:eastAsia="Times New Roman" w:hAnsi="Segoe UI" w:cs="Segoe UI"/>
          <w:sz w:val="22"/>
          <w:szCs w:val="22"/>
          <w:lang w:eastAsia="pt-BR"/>
        </w:rPr>
      </w:pPr>
    </w:p>
    <w:p w14:paraId="0098217F" w14:textId="7E609D2D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sz w:val="22"/>
          <w:szCs w:val="22"/>
          <w:lang w:eastAsia="pt-BR"/>
        </w:rPr>
        <w:t xml:space="preserve">O ambiente inicial que será alvo dos serviços </w:t>
      </w:r>
      <w:r w:rsidR="00045FED">
        <w:rPr>
          <w:rFonts w:ascii="Segoe UI" w:eastAsia="Times New Roman" w:hAnsi="Segoe UI" w:cs="Segoe UI"/>
          <w:sz w:val="22"/>
          <w:szCs w:val="22"/>
          <w:lang w:eastAsia="pt-BR"/>
        </w:rPr>
        <w:t>técnicos iniciais p</w:t>
      </w:r>
      <w:r w:rsidRPr="008A47DC">
        <w:rPr>
          <w:rFonts w:ascii="Segoe UI" w:eastAsia="Times New Roman" w:hAnsi="Segoe UI" w:cs="Segoe UI"/>
          <w:sz w:val="22"/>
          <w:szCs w:val="22"/>
          <w:lang w:eastAsia="pt-BR"/>
        </w:rPr>
        <w:t xml:space="preserve">ossui 4 servidores web, 4 servidores de banco de dados, 4 servidores Zabbix (versões 5.0.20 ; 4.2.8; 4.2.5 e 3.4.3) e 18 servidores Zabbix Proxy, distribuídos nos </w:t>
      </w:r>
      <w:r w:rsidRPr="008A47DC">
        <w:rPr>
          <w:rFonts w:ascii="Segoe UI" w:eastAsia="Times New Roman" w:hAnsi="Segoe UI" w:cs="Segoe UI"/>
          <w:i/>
          <w:iCs/>
          <w:sz w:val="22"/>
          <w:szCs w:val="22"/>
          <w:lang w:eastAsia="pt-BR"/>
        </w:rPr>
        <w:t>sites</w:t>
      </w:r>
      <w:r w:rsidRPr="008A47DC">
        <w:rPr>
          <w:rFonts w:ascii="Segoe UI" w:eastAsia="Times New Roman" w:hAnsi="Segoe UI" w:cs="Segoe UI"/>
          <w:sz w:val="22"/>
          <w:szCs w:val="22"/>
          <w:lang w:eastAsia="pt-BR"/>
        </w:rPr>
        <w:t xml:space="preserve"> da Dataprev no Rio de Janeiro, São Paulo e Distrito Federal. Para o ambiente na versão 3.4.3 é previsto somente migração de monitorações customizadas, pois o ambiente será desmobilizado.</w:t>
      </w:r>
    </w:p>
    <w:p w14:paraId="6749C007" w14:textId="77777777" w:rsidR="008A47DC" w:rsidRPr="008A47DC" w:rsidRDefault="008A47DC" w:rsidP="008A47DC">
      <w:pPr>
        <w:pStyle w:val="PargrafodaLista"/>
        <w:ind w:left="426"/>
        <w:rPr>
          <w:rFonts w:ascii="Segoe UI" w:eastAsia="Times New Roman" w:hAnsi="Segoe UI" w:cs="Segoe UI"/>
          <w:bCs/>
          <w:sz w:val="22"/>
          <w:szCs w:val="22"/>
          <w:lang w:eastAsia="pt-BR"/>
        </w:rPr>
      </w:pPr>
    </w:p>
    <w:p w14:paraId="1358C3E8" w14:textId="77777777" w:rsidR="008A47DC" w:rsidRPr="008A47DC" w:rsidRDefault="008A47DC" w:rsidP="008A47DC">
      <w:pPr>
        <w:pStyle w:val="PargrafodaLista"/>
        <w:numPr>
          <w:ilvl w:val="0"/>
          <w:numId w:val="4"/>
        </w:numPr>
        <w:ind w:left="426" w:hanging="349"/>
        <w:jc w:val="both"/>
        <w:rPr>
          <w:rFonts w:ascii="Segoe UI" w:eastAsia="Times New Roman" w:hAnsi="Segoe UI" w:cs="Segoe UI"/>
          <w:bCs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bCs/>
          <w:sz w:val="22"/>
          <w:szCs w:val="22"/>
          <w:lang w:eastAsia="pt-BR"/>
        </w:rPr>
        <w:t xml:space="preserve">O suporte técnico oficial Zabbix a ser solicitado será </w:t>
      </w:r>
      <w:r w:rsidRPr="008A47DC">
        <w:rPr>
          <w:rFonts w:ascii="Segoe UI" w:eastAsia="Times New Roman" w:hAnsi="Segoe UI" w:cs="Segoe UI"/>
          <w:bCs/>
          <w:sz w:val="22"/>
          <w:szCs w:val="22"/>
          <w:u w:val="single"/>
          <w:lang w:eastAsia="pt-BR"/>
        </w:rPr>
        <w:t>Platinum</w:t>
      </w:r>
      <w:r w:rsidRPr="008A47DC">
        <w:rPr>
          <w:rFonts w:ascii="Segoe UI" w:eastAsia="Times New Roman" w:hAnsi="Segoe UI" w:cs="Segoe UI"/>
          <w:bCs/>
          <w:sz w:val="22"/>
          <w:szCs w:val="22"/>
          <w:lang w:eastAsia="pt-BR"/>
        </w:rPr>
        <w:t xml:space="preserve"> ou </w:t>
      </w:r>
      <w:r w:rsidRPr="008A47DC">
        <w:rPr>
          <w:rFonts w:ascii="Segoe UI" w:eastAsia="Times New Roman" w:hAnsi="Segoe UI" w:cs="Segoe UI"/>
          <w:bCs/>
          <w:sz w:val="22"/>
          <w:szCs w:val="22"/>
          <w:u w:val="single"/>
          <w:lang w:eastAsia="pt-BR"/>
        </w:rPr>
        <w:t>Enterprise</w:t>
      </w:r>
      <w:r w:rsidRPr="008A47DC">
        <w:rPr>
          <w:rFonts w:ascii="Segoe UI" w:eastAsia="Times New Roman" w:hAnsi="Segoe UI" w:cs="Segoe UI"/>
          <w:bCs/>
          <w:sz w:val="22"/>
          <w:szCs w:val="22"/>
          <w:lang w:eastAsia="pt-BR"/>
        </w:rPr>
        <w:t xml:space="preserve">, seguindo as características que são padronizadas para esses níveis de suporte técnico, conforme dados do fabricante em </w:t>
      </w:r>
      <w:hyperlink r:id="rId10" w:history="1">
        <w:r w:rsidRPr="008A47DC">
          <w:rPr>
            <w:rStyle w:val="Hyperlink"/>
            <w:rFonts w:ascii="Segoe UI" w:eastAsia="Times New Roman" w:hAnsi="Segoe UI" w:cs="Segoe UI"/>
            <w:bCs/>
            <w:sz w:val="22"/>
            <w:szCs w:val="22"/>
            <w:lang w:eastAsia="pt-BR"/>
          </w:rPr>
          <w:t>https://www.zabbix.com/support</w:t>
        </w:r>
      </w:hyperlink>
      <w:r w:rsidRPr="008A47DC">
        <w:rPr>
          <w:rFonts w:ascii="Segoe UI" w:eastAsia="Times New Roman" w:hAnsi="Segoe UI" w:cs="Segoe UI"/>
          <w:bCs/>
          <w:sz w:val="22"/>
          <w:szCs w:val="22"/>
          <w:lang w:eastAsia="pt-BR"/>
        </w:rPr>
        <w:t xml:space="preserve"> . </w:t>
      </w:r>
    </w:p>
    <w:p w14:paraId="4F6067C8" w14:textId="77777777" w:rsidR="008A47DC" w:rsidRPr="008A47DC" w:rsidRDefault="008A47DC" w:rsidP="008A47DC">
      <w:pPr>
        <w:pStyle w:val="PargrafodaLista"/>
        <w:ind w:left="426"/>
        <w:rPr>
          <w:rFonts w:ascii="Segoe UI" w:eastAsia="Times New Roman" w:hAnsi="Segoe UI" w:cs="Segoe UI"/>
          <w:bCs/>
          <w:sz w:val="22"/>
          <w:szCs w:val="22"/>
          <w:lang w:eastAsia="pt-BR"/>
        </w:rPr>
      </w:pPr>
    </w:p>
    <w:p w14:paraId="407A4EF4" w14:textId="77777777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 xml:space="preserve"> Suporte Técnico Zabbix Platinum deve possuir métrica definida pela quantidade de servidores Zabbix aplicação e Zabbix proxy, em quantidades separadas, no ambiente  a ser suportado.</w:t>
      </w:r>
    </w:p>
    <w:p w14:paraId="2F33C4AD" w14:textId="77777777" w:rsidR="008A47DC" w:rsidRPr="008A47DC" w:rsidRDefault="008A47DC" w:rsidP="008A47DC">
      <w:pPr>
        <w:pStyle w:val="PargrafodaLista"/>
        <w:ind w:left="426"/>
        <w:rPr>
          <w:rFonts w:ascii="Segoe UI" w:eastAsia="Times New Roman" w:hAnsi="Segoe UI" w:cs="Segoe UI"/>
          <w:bCs/>
          <w:sz w:val="22"/>
          <w:szCs w:val="22"/>
          <w:lang w:eastAsia="pt-BR"/>
        </w:rPr>
      </w:pPr>
    </w:p>
    <w:p w14:paraId="700CF91C" w14:textId="77777777" w:rsidR="008A47DC" w:rsidRPr="008A47DC" w:rsidRDefault="008A47DC" w:rsidP="008A47DC">
      <w:pPr>
        <w:pStyle w:val="PargrafodaLista"/>
        <w:numPr>
          <w:ilvl w:val="1"/>
          <w:numId w:val="4"/>
        </w:numPr>
        <w:ind w:left="709" w:hanging="349"/>
        <w:jc w:val="both"/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</w:pPr>
      <w:r w:rsidRPr="008A47DC">
        <w:rPr>
          <w:rFonts w:ascii="Segoe UI" w:eastAsia="Times New Roman" w:hAnsi="Segoe UI" w:cs="Segoe UI"/>
          <w:bCs/>
          <w:iCs/>
          <w:sz w:val="22"/>
          <w:szCs w:val="22"/>
          <w:lang w:eastAsia="pt-BR"/>
        </w:rPr>
        <w:t xml:space="preserve"> Suporte Técnico Zabbix Enterprise deve possuir métrica que define quantidade ilimitada de servidores Zabbix aplicação ou Zabbix proxy no ambiente  a ser suportado.</w:t>
      </w:r>
    </w:p>
    <w:p w14:paraId="60BCD1E5" w14:textId="77777777" w:rsidR="008A47DC" w:rsidRPr="00A67DA5" w:rsidRDefault="008A47DC">
      <w:pPr>
        <w:suppressAutoHyphens/>
        <w:jc w:val="center"/>
        <w:rPr>
          <w:rFonts w:ascii="Segoe UI" w:hAnsi="Segoe UI"/>
          <w:sz w:val="22"/>
          <w:szCs w:val="22"/>
        </w:rPr>
      </w:pPr>
    </w:p>
    <w:p w14:paraId="3F8A36D9" w14:textId="77777777" w:rsidR="001D40EA" w:rsidRDefault="001D40EA">
      <w:pPr>
        <w:suppressAutoHyphens/>
        <w:jc w:val="center"/>
        <w:rPr>
          <w:rFonts w:ascii="Segoe UI" w:hAnsi="Segoe UI"/>
          <w:sz w:val="18"/>
          <w:szCs w:val="18"/>
        </w:rPr>
      </w:pPr>
    </w:p>
    <w:p w14:paraId="3466F0FC" w14:textId="77777777" w:rsidR="001D40EA" w:rsidRDefault="001D40EA">
      <w:pPr>
        <w:suppressAutoHyphens/>
        <w:jc w:val="center"/>
        <w:rPr>
          <w:rFonts w:ascii="Segoe UI" w:hAnsi="Segoe UI"/>
          <w:sz w:val="18"/>
          <w:szCs w:val="18"/>
        </w:rPr>
      </w:pPr>
    </w:p>
    <w:p w14:paraId="489C6994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p w14:paraId="338B299C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p w14:paraId="7CC80D26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p w14:paraId="21AD75F3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p w14:paraId="1692AA98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p w14:paraId="13A74F5B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p w14:paraId="149C0A23" w14:textId="77777777" w:rsidR="001D40EA" w:rsidRDefault="001D40EA">
      <w:pPr>
        <w:suppressAutoHyphens/>
        <w:rPr>
          <w:rFonts w:ascii="Segoe UI" w:hAnsi="Segoe UI"/>
          <w:sz w:val="18"/>
          <w:szCs w:val="18"/>
        </w:rPr>
      </w:pPr>
    </w:p>
    <w:sectPr w:rsidR="001D40EA">
      <w:headerReference w:type="default" r:id="rId11"/>
      <w:footerReference w:type="default" r:id="rId12"/>
      <w:pgSz w:w="11906" w:h="16838"/>
      <w:pgMar w:top="3327" w:right="1134" w:bottom="1448" w:left="1134" w:header="1134" w:footer="789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380AB" w14:textId="77777777" w:rsidR="004B17AA" w:rsidRDefault="004B17AA">
      <w:r>
        <w:separator/>
      </w:r>
    </w:p>
  </w:endnote>
  <w:endnote w:type="continuationSeparator" w:id="0">
    <w:p w14:paraId="48CAA79A" w14:textId="77777777" w:rsidR="004B17AA" w:rsidRDefault="004B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7234" w14:textId="1BA5B857" w:rsidR="001D40EA" w:rsidRDefault="00D434EB">
    <w:pPr>
      <w:pStyle w:val="Rodap"/>
      <w:tabs>
        <w:tab w:val="right" w:pos="10155"/>
      </w:tabs>
      <w:spacing w:before="113"/>
      <w:rPr>
        <w:rFonts w:ascii="Segoe UI" w:eastAsia="Times New Roman" w:hAnsi="Segoe UI" w:cs="Arial"/>
        <w:color w:val="000000"/>
        <w:sz w:val="16"/>
        <w:szCs w:val="16"/>
        <w:lang w:bidi="ar-SA"/>
      </w:rPr>
    </w:pPr>
    <w:r>
      <w:rPr>
        <w:rFonts w:ascii="Segoe UI" w:eastAsia="Times New Roman" w:hAnsi="Segoe UI" w:cs="Arial"/>
        <w:color w:val="000000"/>
        <w:sz w:val="16"/>
        <w:szCs w:val="16"/>
        <w:lang w:bidi="ar-SA"/>
      </w:rPr>
      <w:t>Termo de Referência – ANEXO I -</w:t>
    </w:r>
    <w:r w:rsidR="00A623EE"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</w:t>
    </w:r>
    <w:sdt>
      <w:sdtPr>
        <w:rPr>
          <w:rFonts w:ascii="Segoe UI" w:eastAsia="Times New Roman" w:hAnsi="Segoe UI" w:cs="Arial"/>
          <w:color w:val="000000"/>
          <w:sz w:val="16"/>
          <w:szCs w:val="16"/>
          <w:lang w:bidi="ar-SA"/>
        </w:rPr>
        <w:alias w:val="Título"/>
        <w:tag w:val=""/>
        <w:id w:val="-1188671589"/>
        <w:placeholder>
          <w:docPart w:val="4E62A14054724C14A1A466CF5FD0CDA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A47DC">
          <w:rPr>
            <w:rFonts w:ascii="Segoe UI" w:eastAsia="Times New Roman" w:hAnsi="Segoe UI" w:cs="Arial"/>
            <w:color w:val="000000"/>
            <w:sz w:val="16"/>
            <w:szCs w:val="16"/>
            <w:lang w:bidi="ar-SA"/>
          </w:rPr>
          <w:t>Suporte e Orientação Técnica Zabbix</w:t>
        </w:r>
      </w:sdtContent>
    </w:sdt>
    <w:r>
      <w:rPr>
        <w:rFonts w:ascii="Segoe UI" w:eastAsia="Times New Roman" w:hAnsi="Segoe UI" w:cs="Arial"/>
        <w:color w:val="000000"/>
        <w:sz w:val="16"/>
        <w:szCs w:val="16"/>
        <w:lang w:bidi="ar-SA"/>
      </w:rPr>
      <w:t xml:space="preserve">                                  </w:t>
    </w:r>
    <w:r>
      <w:rPr>
        <w:rFonts w:ascii="Segoe UI" w:eastAsia="Times New Roman" w:hAnsi="Segoe UI" w:cs="Arial"/>
        <w:color w:val="000000"/>
        <w:sz w:val="16"/>
        <w:szCs w:val="16"/>
        <w:lang w:bidi="ar-SA"/>
      </w:rPr>
      <w:tab/>
    </w:r>
    <w:r w:rsidRPr="00DD0A93">
      <w:rPr>
        <w:rFonts w:ascii="Segoe UI" w:eastAsia="Times New Roman" w:hAnsi="Segoe UI" w:cs="Segoe UI"/>
        <w:color w:val="000000"/>
        <w:sz w:val="16"/>
        <w:szCs w:val="16"/>
        <w:lang w:bidi="ar-SA"/>
      </w:rPr>
      <w:t xml:space="preserve">                                                           </w:t>
    </w:r>
    <w:r w:rsidRPr="00DD0A93">
      <w:rPr>
        <w:rFonts w:ascii="Segoe UI" w:eastAsia="Times New Roman" w:hAnsi="Segoe UI" w:cs="Segoe UI"/>
        <w:color w:val="000000"/>
        <w:sz w:val="16"/>
        <w:szCs w:val="16"/>
        <w:lang w:bidi="ar-SA"/>
      </w:rPr>
      <w:fldChar w:fldCharType="begin"/>
    </w:r>
    <w:r w:rsidRPr="00DD0A93">
      <w:rPr>
        <w:rFonts w:ascii="Segoe UI" w:hAnsi="Segoe UI" w:cs="Segoe UI"/>
        <w:sz w:val="16"/>
        <w:szCs w:val="16"/>
      </w:rPr>
      <w:instrText>PAGE</w:instrText>
    </w:r>
    <w:r w:rsidRPr="00DD0A93">
      <w:rPr>
        <w:rFonts w:ascii="Segoe UI" w:hAnsi="Segoe UI" w:cs="Segoe UI"/>
        <w:sz w:val="16"/>
        <w:szCs w:val="16"/>
      </w:rPr>
      <w:fldChar w:fldCharType="separate"/>
    </w:r>
    <w:r w:rsidR="00AC755A" w:rsidRPr="00DD0A93">
      <w:rPr>
        <w:rFonts w:ascii="Segoe UI" w:hAnsi="Segoe UI" w:cs="Segoe UI"/>
        <w:noProof/>
        <w:sz w:val="16"/>
        <w:szCs w:val="16"/>
      </w:rPr>
      <w:t>2</w:t>
    </w:r>
    <w:r w:rsidRPr="00DD0A93">
      <w:rPr>
        <w:rFonts w:ascii="Segoe UI" w:hAnsi="Segoe UI" w:cs="Segoe UI"/>
        <w:sz w:val="16"/>
        <w:szCs w:val="16"/>
      </w:rPr>
      <w:fldChar w:fldCharType="end"/>
    </w:r>
    <w:r w:rsidRPr="00DD0A93">
      <w:rPr>
        <w:rFonts w:ascii="Segoe UI" w:eastAsia="Times New Roman" w:hAnsi="Segoe UI" w:cs="Segoe UI"/>
        <w:color w:val="000000"/>
        <w:sz w:val="16"/>
        <w:szCs w:val="16"/>
        <w:lang w:bidi="ar-SA"/>
      </w:rPr>
      <w:t xml:space="preserve"> / </w:t>
    </w:r>
    <w:r w:rsidRPr="00DD0A93">
      <w:rPr>
        <w:rFonts w:ascii="Segoe UI" w:eastAsia="Times New Roman" w:hAnsi="Segoe UI" w:cs="Segoe UI"/>
        <w:color w:val="000000"/>
        <w:sz w:val="16"/>
        <w:szCs w:val="16"/>
        <w:lang w:bidi="ar-SA"/>
      </w:rPr>
      <w:fldChar w:fldCharType="begin"/>
    </w:r>
    <w:r w:rsidRPr="00DD0A93">
      <w:rPr>
        <w:rFonts w:ascii="Segoe UI" w:hAnsi="Segoe UI" w:cs="Segoe UI"/>
        <w:sz w:val="16"/>
        <w:szCs w:val="16"/>
      </w:rPr>
      <w:instrText>NUMPAGES</w:instrText>
    </w:r>
    <w:r w:rsidRPr="00DD0A93">
      <w:rPr>
        <w:rFonts w:ascii="Segoe UI" w:hAnsi="Segoe UI" w:cs="Segoe UI"/>
        <w:sz w:val="16"/>
        <w:szCs w:val="16"/>
      </w:rPr>
      <w:fldChar w:fldCharType="separate"/>
    </w:r>
    <w:r w:rsidR="00AC755A" w:rsidRPr="00DD0A93">
      <w:rPr>
        <w:rFonts w:ascii="Segoe UI" w:hAnsi="Segoe UI" w:cs="Segoe UI"/>
        <w:noProof/>
        <w:sz w:val="16"/>
        <w:szCs w:val="16"/>
      </w:rPr>
      <w:t>2</w:t>
    </w:r>
    <w:r w:rsidRPr="00DD0A93">
      <w:rPr>
        <w:rFonts w:ascii="Segoe UI" w:hAnsi="Segoe UI" w:cs="Segoe U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7333" w14:textId="77777777" w:rsidR="004B17AA" w:rsidRDefault="004B17AA">
      <w:r>
        <w:separator/>
      </w:r>
    </w:p>
  </w:footnote>
  <w:footnote w:type="continuationSeparator" w:id="0">
    <w:p w14:paraId="67640F86" w14:textId="77777777" w:rsidR="004B17AA" w:rsidRDefault="004B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B75C3" w14:textId="55D62747" w:rsidR="00C64643" w:rsidRPr="00C64643" w:rsidRDefault="00564840" w:rsidP="00C64643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>
      <w:rPr>
        <w:noProof/>
        <w:lang w:eastAsia="pt-BR" w:bidi="ar-SA"/>
      </w:rPr>
      <w:drawing>
        <wp:anchor distT="0" distB="0" distL="0" distR="0" simplePos="0" relativeHeight="251703296" behindDoc="0" locked="0" layoutInCell="1" allowOverlap="1" wp14:anchorId="192BC868" wp14:editId="3FB3EC03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 xml:space="preserve">Diretoria </w:t>
    </w:r>
    <w:r w:rsidR="00C64643" w:rsidRPr="00C64643">
      <w:rPr>
        <w:rFonts w:ascii="Segoe UI" w:hAnsi="Segoe UI"/>
        <w:sz w:val="18"/>
        <w:szCs w:val="18"/>
      </w:rPr>
      <w:t>de Gestão de Infraestrutura de TIC - DGI</w:t>
    </w:r>
  </w:p>
  <w:p w14:paraId="5A11AB81" w14:textId="77777777" w:rsidR="00C64643" w:rsidRPr="00C64643" w:rsidRDefault="00C64643" w:rsidP="00C64643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 w:rsidRPr="00C64643">
      <w:rPr>
        <w:rFonts w:ascii="Segoe UI" w:hAnsi="Segoe UI"/>
        <w:sz w:val="18"/>
        <w:szCs w:val="18"/>
      </w:rPr>
      <w:t>Superintendência de Planejamento e Gestão Técnica de Infraestrutura de TIC - SUPI</w:t>
    </w:r>
  </w:p>
  <w:p w14:paraId="72ED62D4" w14:textId="77777777" w:rsidR="00C64643" w:rsidRPr="00C64643" w:rsidRDefault="00C64643" w:rsidP="00C64643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 w:rsidRPr="00C64643">
      <w:rPr>
        <w:rFonts w:ascii="Segoe UI" w:hAnsi="Segoe UI"/>
        <w:sz w:val="18"/>
        <w:szCs w:val="18"/>
      </w:rPr>
      <w:t>Departamento de Gestão Técnica de Infraestrutura de TIC - DEGI</w:t>
    </w:r>
  </w:p>
  <w:p w14:paraId="6311F751" w14:textId="625321C0" w:rsidR="00E217DD" w:rsidRDefault="00C64643" w:rsidP="00C64643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 w:rsidRPr="00C64643">
      <w:rPr>
        <w:rFonts w:ascii="Segoe UI" w:hAnsi="Segoe UI"/>
        <w:sz w:val="18"/>
        <w:szCs w:val="18"/>
      </w:rPr>
      <w:t xml:space="preserve">Divisão de Gestão de Insumos e Processos de Contratação de Infraestrutura de TIC </w:t>
    </w:r>
    <w:r w:rsidR="00DD0A93">
      <w:rPr>
        <w:rFonts w:ascii="Segoe UI" w:hAnsi="Segoe UI"/>
        <w:sz w:val="18"/>
        <w:szCs w:val="18"/>
      </w:rPr>
      <w:t>-</w:t>
    </w:r>
    <w:r w:rsidRPr="00C64643">
      <w:rPr>
        <w:rFonts w:ascii="Segoe UI" w:hAnsi="Segoe UI"/>
        <w:sz w:val="18"/>
        <w:szCs w:val="18"/>
      </w:rPr>
      <w:t xml:space="preserve"> DGIC</w:t>
    </w:r>
  </w:p>
  <w:p w14:paraId="0D20FE9D" w14:textId="77777777" w:rsidR="00C64643" w:rsidRDefault="00C64643" w:rsidP="00C64643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</w:p>
  <w:p w14:paraId="4B1F9658" w14:textId="77777777" w:rsidR="001D40EA" w:rsidRDefault="00D434EB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r>
      <w:rPr>
        <w:rFonts w:ascii="Segoe UI" w:hAnsi="Segoe UI"/>
        <w:b/>
        <w:bCs/>
        <w:sz w:val="22"/>
        <w:szCs w:val="22"/>
      </w:rPr>
      <w:t xml:space="preserve">Termo de Referência </w:t>
    </w:r>
  </w:p>
  <w:sdt>
    <w:sdtPr>
      <w:rPr>
        <w:rFonts w:ascii="Segoe UI" w:eastAsia="Times New Roman" w:hAnsi="Segoe UI" w:cs="Arial"/>
        <w:b/>
        <w:bCs/>
        <w:color w:val="000000"/>
        <w:kern w:val="0"/>
        <w:lang w:bidi="ar-SA"/>
      </w:rPr>
      <w:alias w:val="Título"/>
      <w:tag w:val=""/>
      <w:id w:val="-410843353"/>
      <w:placeholder>
        <w:docPart w:val="6CBDE8F03B244684AA776B822E516ED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5D79BD1" w14:textId="60A04C01" w:rsidR="001D40EA" w:rsidRPr="00A623EE" w:rsidRDefault="008A47DC">
        <w:pPr>
          <w:pStyle w:val="Corpodetexto"/>
          <w:pBdr>
            <w:bottom w:val="single" w:sz="2" w:space="1" w:color="000000"/>
          </w:pBdr>
          <w:spacing w:after="0"/>
          <w:jc w:val="right"/>
          <w:rPr>
            <w:rFonts w:ascii="Segoe UI" w:eastAsia="Times New Roman" w:hAnsi="Segoe UI" w:cs="Arial"/>
            <w:b/>
            <w:bCs/>
            <w:color w:val="000000"/>
            <w:lang w:bidi="ar-SA"/>
          </w:rPr>
        </w:pPr>
        <w:r>
          <w:rPr>
            <w:rFonts w:ascii="Segoe UI" w:eastAsia="Times New Roman" w:hAnsi="Segoe UI" w:cs="Arial"/>
            <w:b/>
            <w:bCs/>
            <w:color w:val="000000"/>
            <w:kern w:val="0"/>
            <w:lang w:bidi="ar-SA"/>
          </w:rPr>
          <w:t>Suporte e Orientação Técnica Zabbix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CDE"/>
    <w:multiLevelType w:val="multilevel"/>
    <w:tmpl w:val="5E3823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6D6005"/>
    <w:multiLevelType w:val="multilevel"/>
    <w:tmpl w:val="E4367D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6F1040F"/>
    <w:multiLevelType w:val="multilevel"/>
    <w:tmpl w:val="DBAE1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82873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13297233">
    <w:abstractNumId w:val="1"/>
  </w:num>
  <w:num w:numId="2" w16cid:durableId="132675827">
    <w:abstractNumId w:val="2"/>
  </w:num>
  <w:num w:numId="3" w16cid:durableId="1186868343">
    <w:abstractNumId w:val="3"/>
  </w:num>
  <w:num w:numId="4" w16cid:durableId="963923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0EA"/>
    <w:rsid w:val="00045FED"/>
    <w:rsid w:val="000B14F9"/>
    <w:rsid w:val="001147E3"/>
    <w:rsid w:val="001504C6"/>
    <w:rsid w:val="001714EA"/>
    <w:rsid w:val="001D40EA"/>
    <w:rsid w:val="00365A20"/>
    <w:rsid w:val="004B17AA"/>
    <w:rsid w:val="004F5B3D"/>
    <w:rsid w:val="00564840"/>
    <w:rsid w:val="005E06E0"/>
    <w:rsid w:val="007B4F02"/>
    <w:rsid w:val="00820CF6"/>
    <w:rsid w:val="008A47DC"/>
    <w:rsid w:val="008C7D60"/>
    <w:rsid w:val="00A623EE"/>
    <w:rsid w:val="00A67DA5"/>
    <w:rsid w:val="00AC755A"/>
    <w:rsid w:val="00B72181"/>
    <w:rsid w:val="00C64643"/>
    <w:rsid w:val="00D434EB"/>
    <w:rsid w:val="00DD0A93"/>
    <w:rsid w:val="00E217DD"/>
    <w:rsid w:val="00E50D20"/>
    <w:rsid w:val="00F24F3A"/>
    <w:rsid w:val="00F26921"/>
    <w:rsid w:val="00F6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958FF"/>
  <w15:docId w15:val="{BC0D431C-FEB6-4AB4-975B-2013DF07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Ttulo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Zeichenformat">
    <w:name w:val="Zeichenformat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5E06E0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A6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4840"/>
    <w:rPr>
      <w:rFonts w:ascii="Segoe UI" w:hAnsi="Segoe UI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4840"/>
    <w:rPr>
      <w:rFonts w:ascii="Segoe UI" w:hAnsi="Segoe UI"/>
      <w:sz w:val="18"/>
      <w:szCs w:val="16"/>
    </w:rPr>
  </w:style>
  <w:style w:type="character" w:styleId="TextodoEspaoReservado">
    <w:name w:val="Placeholder Text"/>
    <w:basedOn w:val="Fontepargpadro"/>
    <w:uiPriority w:val="99"/>
    <w:semiHidden/>
    <w:rsid w:val="00F64605"/>
    <w:rPr>
      <w:color w:val="808080"/>
    </w:rPr>
  </w:style>
  <w:style w:type="character" w:styleId="Hyperlink">
    <w:name w:val="Hyperlink"/>
    <w:basedOn w:val="Fontepargpadro"/>
    <w:uiPriority w:val="99"/>
    <w:unhideWhenUsed/>
    <w:rsid w:val="008A47DC"/>
    <w:rPr>
      <w:color w:val="0563C1" w:themeColor="hyperlink"/>
      <w:u w:val="single"/>
    </w:rPr>
  </w:style>
  <w:style w:type="character" w:customStyle="1" w:styleId="PargrafodaListaChar">
    <w:name w:val="Parágrafo da Lista Char"/>
    <w:aliases w:val="Marcadores PDTI Char"/>
    <w:basedOn w:val="Fontepargpadro"/>
    <w:link w:val="PargrafodaLista"/>
    <w:uiPriority w:val="34"/>
    <w:qFormat/>
    <w:rsid w:val="008A47DC"/>
    <w:rPr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0B14F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B14F9"/>
    <w:rPr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B14F9"/>
    <w:rPr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B14F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B14F9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zabbix.com/suppor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BDE8F03B244684AA776B822E516ED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A9D6BD-42BE-41BA-AAC5-FA0EE39684F1}"/>
      </w:docPartPr>
      <w:docPartBody>
        <w:p w:rsidR="00642F38" w:rsidRDefault="00114C3E">
          <w:r w:rsidRPr="00A72321">
            <w:rPr>
              <w:rStyle w:val="TextodoEspaoReservado"/>
            </w:rPr>
            <w:t>[Título]</w:t>
          </w:r>
        </w:p>
      </w:docPartBody>
    </w:docPart>
    <w:docPart>
      <w:docPartPr>
        <w:name w:val="4E62A14054724C14A1A466CF5FD0C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40DC76-959A-4CE2-9E5A-1BA45E86781D}"/>
      </w:docPartPr>
      <w:docPartBody>
        <w:p w:rsidR="00642F38" w:rsidRDefault="00114C3E">
          <w:r w:rsidRPr="00A72321">
            <w:rPr>
              <w:rStyle w:val="TextodoEspaoReservado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C3E"/>
    <w:rsid w:val="00114C3E"/>
    <w:rsid w:val="00431544"/>
    <w:rsid w:val="004874B5"/>
    <w:rsid w:val="00642F38"/>
    <w:rsid w:val="008C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3E"/>
    <w:rPr>
      <w:rFonts w:cs="Times New Roman"/>
      <w:sz w:val="3276"/>
      <w:szCs w:val="327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14C3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5" ma:contentTypeDescription="Crie um novo documento." ma:contentTypeScope="" ma:versionID="3e2d7cfec4634c2f547409b3693ab48f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6d183355e08cfedbf4f9724a552d2c2b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Props1.xml><?xml version="1.0" encoding="utf-8"?>
<ds:datastoreItem xmlns:ds="http://schemas.openxmlformats.org/officeDocument/2006/customXml" ds:itemID="{2BB83F53-D4D1-46FB-A382-C34897061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ACC080-7C33-4995-8687-964E0F08E648}"/>
</file>

<file path=customXml/itemProps3.xml><?xml version="1.0" encoding="utf-8"?>
<ds:datastoreItem xmlns:ds="http://schemas.openxmlformats.org/officeDocument/2006/customXml" ds:itemID="{CEDC3434-0349-4E16-8CF7-1DD985FC5DFE}">
  <ds:schemaRefs>
    <ds:schemaRef ds:uri="http://schemas.microsoft.com/office/2006/metadata/properties"/>
    <ds:schemaRef ds:uri="http://schemas.microsoft.com/office/infopath/2007/PartnerControls"/>
    <ds:schemaRef ds:uri="99d93520-7fa5-477a-a8e8-6fbea528ef95"/>
    <ds:schemaRef ds:uri="4d689b43-d61c-455c-8065-f62400986a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Suporte e Orientação Técnica Zabbix</dc:title>
  <dc:subject/>
  <dc:creator>Natalia Barbosa Ramos</dc:creator>
  <dc:description/>
  <cp:lastModifiedBy>Ricardo Mendanha Piquet de Alcantara</cp:lastModifiedBy>
  <cp:revision>3</cp:revision>
  <dcterms:created xsi:type="dcterms:W3CDTF">2023-08-28T10:24:00Z</dcterms:created>
  <dcterms:modified xsi:type="dcterms:W3CDTF">2023-08-28T10:25:00Z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